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Jumestaja</w:t>
      </w:r>
      <w:r>
        <w:rPr>
          <w:sz w:val="36"/>
          <w:szCs w:val="36"/>
          <w:lang w:val="fi-FI"/>
        </w:rPr>
        <w:t xml:space="preserve">- </w:t>
      </w:r>
      <w:r>
        <w:rPr>
          <w:sz w:val="36"/>
          <w:szCs w:val="36"/>
        </w:rPr>
        <w:t>ja grimeerija kutse andja kutse- ja hindamiskomisjoni töökord</w:t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Kinnitatud kutsekomisjoni protokoll  13.11.2015</w:t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KUTSEKOMISJONI TÖÖKORD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>
              <w:b/>
              <w:b/>
              <w:bCs/>
              <w:color w:val="auto"/>
              <w:lang w:val="en-150"/>
            </w:rPr>
          </w:pPr>
          <w:r>
            <w:rPr>
              <w:b/>
              <w:bCs/>
              <w:color w:val="auto"/>
              <w:lang w:val="en-150"/>
            </w:rPr>
            <w:t>Sisukord</w:t>
          </w:r>
        </w:p>
        <w:p>
          <w:pPr>
            <w:pStyle w:val="Normal"/>
            <w:rPr>
              <w:lang w:val="en-150"/>
            </w:rPr>
          </w:pPr>
          <w:r>
            <w:rPr>
              <w:lang w:val="en-150"/>
            </w:rPr>
          </w:r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r>
            <w:fldChar w:fldCharType="begin"/>
          </w:r>
          <w:r>
            <w:rPr>
              <w:webHidden/>
              <w:rStyle w:val="IndexLink"/>
              <w:lang w:val="en-150"/>
            </w:rPr>
            <w:instrText> TOC \z \o "1-3" \u \h</w:instrText>
          </w:r>
          <w:r>
            <w:rPr>
              <w:webHidden/>
              <w:rStyle w:val="IndexLink"/>
              <w:lang w:val="en-150"/>
            </w:rPr>
            <w:fldChar w:fldCharType="separate"/>
          </w:r>
          <w:hyperlink w:anchor="_Toc22802598">
            <w:r>
              <w:rPr>
                <w:webHidden/>
                <w:rStyle w:val="IndexLink"/>
                <w:lang w:val="en-150"/>
              </w:rPr>
              <w:t xml:space="preserve">1. </w:t>
            </w:r>
            <w:r>
              <w:rPr>
                <w:rStyle w:val="IndexLink"/>
              </w:rPr>
              <w:t>ÜLDSÄTTED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_Toc22802598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599">
            <w:r>
              <w:rPr>
                <w:webHidden/>
                <w:rStyle w:val="IndexLink"/>
                <w:lang w:val="en-150"/>
              </w:rPr>
              <w:t xml:space="preserve">2. </w:t>
            </w:r>
            <w:r>
              <w:rPr>
                <w:rStyle w:val="IndexLink"/>
              </w:rPr>
              <w:t>KUTSEKOMISJON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_Toc22802599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0">
            <w:r>
              <w:rPr>
                <w:webHidden/>
                <w:rStyle w:val="IndexLink"/>
              </w:rPr>
              <w:t>3.KUTSEKOMISJONI LIIKMELE ESITATAVAD NÕUDED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1">
            <w:r>
              <w:rPr>
                <w:webHidden/>
                <w:rStyle w:val="IndexLink"/>
              </w:rPr>
              <w:t>4. KUTSEKOMISJONI LIIKMETE VALIMINE JA VOLITUSTE KESTUS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2">
            <w:r>
              <w:rPr>
                <w:webHidden/>
                <w:rStyle w:val="IndexLink"/>
              </w:rPr>
              <w:t>5. KUTSEKOMISJONI LIIKMETE TAGASIASTUMINE JA VÄLJAARVAMINE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3">
            <w:r>
              <w:rPr>
                <w:webHidden/>
                <w:rStyle w:val="IndexLink"/>
              </w:rPr>
              <w:t>6. KUTSEKOMISJONI LIIKMETE VAHELINE TÖÖJAOTUS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4">
            <w:r>
              <w:rPr>
                <w:webHidden/>
                <w:rStyle w:val="IndexLink"/>
              </w:rPr>
              <w:t>7. KUTSEKOMISJONI ÜLESANDED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5">
            <w:r>
              <w:rPr>
                <w:webHidden/>
                <w:rStyle w:val="IndexLink"/>
              </w:rPr>
              <w:t>8. KUTSEKOMISJONI TÖÖVORM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6">
            <w:r>
              <w:rPr>
                <w:webHidden/>
                <w:rStyle w:val="IndexLink"/>
              </w:rPr>
              <w:t>9. KUTSEKOMISJONI KOOSOLEKUTE PROTOKOLLIMINE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7">
            <w:r>
              <w:rPr>
                <w:webHidden/>
                <w:rStyle w:val="IndexLink"/>
              </w:rPr>
              <w:t>10 KUTSEKOMISJONI OTSUSTE VASTUVÕTMINE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8">
            <w:r>
              <w:rPr>
                <w:webHidden/>
                <w:rStyle w:val="IndexLink"/>
              </w:rPr>
              <w:t>11.  KUTSE ANDMISE JA TAASTÕENDAMISE TAOTLUSTE LÄBIVAATMINE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09">
            <w:r>
              <w:rPr>
                <w:webHidden/>
                <w:rStyle w:val="IndexLink"/>
              </w:rPr>
              <w:t>12. KUTSEKOMISJONI LIIKMETE TÖÖ TASUSTAMINE JA KULUTUSTE HÜVITAMINE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_Toc22802609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0">
            <w:r>
              <w:rPr>
                <w:webHidden/>
                <w:rStyle w:val="IndexLink"/>
              </w:rPr>
              <w:t>13. HINDAMISKOMISJONI TÖÖKORD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1">
            <w:r>
              <w:rPr>
                <w:webHidden/>
                <w:rStyle w:val="IndexLink"/>
              </w:rPr>
              <w:t>14. HINDAMISKOMISJONI LIIKMETELE ESITATAVAD NÕUDED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2">
            <w:r>
              <w:rPr>
                <w:webHidden/>
                <w:rStyle w:val="IndexLink"/>
              </w:rPr>
              <w:t>15. HINDAMISKOMISJONI MOODUSTAMINE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3">
            <w:r>
              <w:rPr>
                <w:webHidden/>
                <w:rStyle w:val="IndexLink"/>
              </w:rPr>
              <w:t>16. HINDAMISKOMISJONI LIIKMETE TAGASIASTUMINE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4">
            <w:r>
              <w:rPr>
                <w:webHidden/>
                <w:rStyle w:val="IndexLink"/>
              </w:rPr>
              <w:t>17. HINDAMISKOMISJONI TÖÖVORM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5">
            <w:r>
              <w:rPr>
                <w:webHidden/>
                <w:rStyle w:val="IndexLink"/>
              </w:rPr>
              <w:t>18. HINDAMISKOMISJONI TÖÖ VAIDLUSTAMINE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6">
            <w:r>
              <w:rPr>
                <w:webHidden/>
                <w:rStyle w:val="IndexLink"/>
              </w:rPr>
              <w:t>19. HINDAMISKOMISJONI LIIKMETE TÖÖ TASUSTAMINE JA KULUTUSTE HÜVITAMINE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7">
            <w:r>
              <w:rPr>
                <w:webHidden/>
                <w:rStyle w:val="IndexLink"/>
              </w:rPr>
              <w:t>20. KUTSE OMISTAMINE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8">
            <w:r>
              <w:rPr>
                <w:webHidden/>
                <w:rStyle w:val="IndexLink"/>
              </w:rPr>
              <w:t>21. KUTSEKOMISJONI OTSUSTE VAIDLUSTAMINE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19">
            <w:r>
              <w:rPr>
                <w:webHidden/>
                <w:rStyle w:val="IndexLink"/>
              </w:rPr>
              <w:t>22. KUTSETUNNISTUSTE JA SELLE DUPLIKAATIDE VÄLJASTAMINE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_Toc22802619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9062" w:leader="dot"/>
            </w:tabs>
            <w:rPr>
              <w:rFonts w:eastAsia="" w:eastAsiaTheme="minorEastAsia"/>
              <w:lang w:val="en-150" w:eastAsia="en-150"/>
            </w:rPr>
          </w:pPr>
          <w:hyperlink w:anchor="_Toc22802620">
            <w:r>
              <w:rPr>
                <w:webHidden/>
                <w:rStyle w:val="IndexLink"/>
              </w:rPr>
              <w:t>23. KUTSETUNNISTUSTE KEHTETUKS TUNNISTAMINE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_Toc22802620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Heading1"/>
        <w:rPr/>
      </w:pPr>
      <w:bookmarkStart w:id="0" w:name="_Toc22802598"/>
      <w:r>
        <w:rPr>
          <w:lang w:val="en-150"/>
        </w:rPr>
        <w:t xml:space="preserve">1. </w:t>
      </w:r>
      <w:r>
        <w:rPr/>
        <w:t>ÜLDSÄTTED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1.1 Käesoleva töökorra on kehtestanud Eesti Meigikunstnike Ühendus (edaspidises tekstis nimetatud kutse andja) eesmärgiga reguleerida jumestaja- ja grimeerija kutsekomisjoni (edaspidises tekstis nimetatud kutsekomisjon) töökorraldust kutse andmise ja taastõendamise protsessis.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1.2 Käesolev töökorra väljatöötamisel on lähtutud kutseseadusest ja kutse andmise korrast.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1.3 Käesolevas töökorras käsitletavatele dokumendi- ja muudele menetlustele kohaldatakse haldusmenetluse seaduse sätteid.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bookmarkStart w:id="1" w:name="_Toc22802599"/>
      <w:r>
        <w:rPr>
          <w:rStyle w:val="Heading1Char"/>
          <w:lang w:val="en-150"/>
        </w:rPr>
        <w:t xml:space="preserve">2. </w:t>
      </w:r>
      <w:r>
        <w:rPr>
          <w:rStyle w:val="Heading1Char"/>
        </w:rPr>
        <w:t>KUTSEKOMISJON</w:t>
      </w:r>
      <w:bookmarkEnd w:id="1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2.1 Kutsekomisjon on kutse andja poolt  moodustatud erapooletu, seitsmest liikmest koosnev organ, mille tegevuse eesmärgiks on kutse andmise ja taastõendamise taotluste menetlemine, jumestaja- ja grimeerija töökvaliteedi kutsekvalifikatsiooni nõuetele vastavuse hindamise korraldamine ning kutse-eetikaga seotud konfliktide (probleemide) lahendamine.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2.2 Kutsekomisjon juhindub oma tegevuses kutseseadusest, jumestaja- ja grimeerija  kutse andmise korrast ja käesolevast töökorrast.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2" w:name="_Toc22802600"/>
      <w:r>
        <w:rPr/>
        <w:t>3.KUTSEKOMISJONI LIIKMELE ESITATAVAD NÕUDED</w:t>
      </w:r>
      <w:bookmarkEnd w:id="2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3.1 Kutsekomisjoni liikmel peab olema vähemalt keskharidus.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3.2 Kutsekomisjoni liige peab omama ülevaadet kutsesüsteemist, jumestaja- ja grimeerija kutsealast ja eripärast ning peab tegutsema erapooletult.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3.3 Kutsekomisjoni liige peab olema aus ja väärikas, tema isikuomaduste hulka peavad kuuluma suhtlemisvalmidus, meeskonnatöö oskus, vastutus- ja kohusetunne ning kohanemis- ja otsustusvõime.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3" w:name="_Toc22802601"/>
      <w:r>
        <w:rPr/>
        <w:t>4. KUTSEKOMISJONI LIIKMETE VALIMINE JA VOLITUSTE KESTUS</w:t>
      </w:r>
      <w:bookmarkEnd w:id="3"/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4.1 Igal huvitatud osapoolel (vastavalt kutseseadusele §18 lg1 järgi spetsialistid, tööandjad, töötajad, koolitajad, kutse- ja erialaliitude esindajad, klientide ja tarbijate esindajad jt) on õigus esitada kutsekomisjoni liikmete valimiseks oma kandidaate, esitades vastavasisulise kirjaliku ettepaneku kutse andjale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4.2 Kutsekomisjoni liikmete volitused kehtivad alates nende valimise otsuse vastuvõtmisest kuni nende tagasiastumise või väljaarvamise otsuse vastuvõtmiseni, kuid mitte kauem kui kehtivad kutse andja õigused.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4.3 Kutse andja teeb otsuse kutsekomisjoni liikme vastuvõtmiseks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4" w:name="_Toc22802602"/>
      <w:r>
        <w:rPr/>
        <w:t>5. KUTSEKOMISJONI LIIKMETE TAGASIASTUMINE JA VÄLJAARVAMINE</w:t>
      </w:r>
      <w:bookmarkEnd w:id="4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5.1 Kutsekomisjoni liige võib igal ajal tagasi astuda, esitades selle kohta kutse andja juhatusele kirjaliku avalduse.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5.2 Tagasiastumise avalduse esitanud kutsekomisjoni liikme asemel tuleb valida uus liige selle kaasatud huvitatud osapoole kandidaatide hulgast, keda tagasiastuv liige kutsekomisjonis esindas.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5.3 Kutsekomisjonil on õigus teha kutse andjale ettepanek liikme välja vahetamiseks, kui on selgunud, et liige ei täida oma ülesandeid või on ebausaldusväärne.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5.4 Kutse andja teeb liikme välja vahetamiseks huvitatud osapoolele ettepaneku seada üles uus liikmekandidaat, kes kinnitatakse kutse andja juhatuse poolt.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5" w:name="_Toc22802603"/>
      <w:r>
        <w:rPr/>
        <w:t>6. KUTSEKOMISJONI LIIKMETE VAHELINE TÖÖJAOTUS</w:t>
      </w:r>
      <w:bookmarkEnd w:id="5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6.1 Kutsekomisjoni liikmed valivad endi hulgast kutsekomisjoni esimehe, kelle tööülesanneteks on: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6.1.1 kutsekomisjoni koosolekute kokkukutsumine ja juhtimine;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6.1.2 kutsekomisjoni koosolekute päevakorra määramine;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6.1.3 kutsekomisjoni otsuste nõuetekohase vormistamise ja säilitamise korraldamine;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6.1.4 kutsekomisjoni liikmete vahelise teabevahetuse korraldamine;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6.1.5 kutsekomisjoni liikmete töö koordineerimine ja kontroll.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6.2 Kutsekomisjoni liikmed lepivad konsensuse alusel kokku omavahelise tööjaotuse ja vastutusvaldkonnad.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6.3 Kokku lepitud kutsekomisjoni liikmete tööjaotuses märgitud ülesannete täitmata jätmine või mittenõuetekohane täitmine võib olla aluseks (mõjuvaks põhjuseks) kutsekomisjoni liikme tagasikutsumisel kutse andja juhatuse poolt.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6" w:name="_Toc22802604"/>
      <w:r>
        <w:rPr/>
        <w:t>7. KUTSEKOMISJONI ÜLESANDED</w:t>
      </w:r>
      <w:bookmarkEnd w:id="6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Kutsekomisjoni ülesanneteks on: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7.1 Kutse andmise korra eelnõu ja selle muudatuste ettepanekute väljatöötamine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7.2 Kutsekomisjoni töökorra eelnõu ja selle muudatuste ettepanekute väljatöötamine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7.3 Hindamiskomisjoni töökorra eelnõu ja selle muudatuste ettepanekute väljatöötamine;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7.4 Hindamiskomisjoni liikmete ja hindamiskomisjoni esimehe nimetamine ning tagasikutsumine;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7.5 Hindamise korraldamise juhendite ja eksamimaterjalide väljatöötamine ning nendes muudatuste tegemine ja kinnitamine;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7.6 Kutsekompetentsuse hindamise vormide ja viiside väljatöötamine ning nendes muudatuste sisseviimise otsustamine;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7.7 Kutse andmise ja kutse taastõendamise tasu suuruse kohta motiveeritud ettepanekute väljatöötamine, selleks vajalike arvestuste tegemine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7.8 Kutse taotlemiseks või taastõendamiseks esitatavate dokumentide vastuvõtmine, läbivaatamine ja kontrollimine;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7.9 Kutse andmise või taastõendamise või sellest keeldumise otsuste, vastuvõtmine;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7.10 Hindamiskomisjoni otsuste või tegevuse peale esitatud kaebuste lahendamine;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7.11 Kutseliste jumestajate- ja grimeerijate tegevuse peale esitatud kaebuste lahendamine;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7.12 Põhjendatud kahtluse tekkimise korral kutseliste jumestajate- ja grimeerijate kompetentsuse täiendav kontroll ja hindamise korraldamine;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7.13 Kutsetunnistuste väljaandmine ja kehtetuks tunnistamine.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7" w:name="_Toc22802605"/>
      <w:r>
        <w:rPr/>
        <w:t>8. KUTSEKOMISJONI TÖÖVORM</w:t>
      </w:r>
      <w:bookmarkEnd w:id="7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8.1 Kutsekomisjoni töövormiks on kutsekomisjoni liikmete koosolek, mille väljundiks on vastu võetud otsus.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8.2 Kutsekomisjoni koosoleku kutsub kokku kutsekomisjoni esimees, teatades koosoleku toimumise aja liikmetele vähemalt 3 kalendripäeva ette.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8.3 Kutsekomisjoni koosolekust osavõtmise takistusest peab kutsekomisjoni liige teatama kutsekomisjoni esimehele esimesel võimalusel.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8.4 Kõigil kutsekomisjoni liikmetel on igal ajal õigus teha esimehele ettepanekuid koosoleku kokkukutsumiseks.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8" w:name="_Toc22802606"/>
      <w:r>
        <w:rPr/>
        <w:t>9. KUTSEKOMISJONI KOOSOLEKUTE PROTOKOLLIMINE</w:t>
      </w:r>
      <w:bookmarkEnd w:id="8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9.1 Iga koosoleku kohta koostatakse esimehe ja kutsekomisjoni liikmete poolt valitud protokollija poolt allkirjastatav kutsekomisjoni koosoleku protokoll.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9.2 Kutsekomisjoni koosoleku protokoll peab sisaldama vähemalt alljärgnevaid andmeid: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9.2.1 Kutsekomisjoni koosoleku toimumise aeg ja koht;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9.2.2 Kutsekomisjoni koosolekul osalenud kutsekomisjoni liikmete nimekiri;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9.2.3 Kutsekomisjoni koosoleku päevakord;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9.2.4 Kutsekomisjoni koosolekul vastu võetud otsused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9.2.5 Kutse andmise või taastõendamise või sellest keeldumise otsust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9.3 Kutsekomisjoni koosoleku protokoll koostatakse ühes originaaleksemplaris, mis säilitatakse kutsekomisjoni esimehe valduses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9" w:name="_Toc22802607"/>
      <w:r>
        <w:rPr/>
        <w:t>10 KUTSEKOMISJONI OTSUSTE VASTUVÕTMINE</w:t>
      </w:r>
      <w:bookmarkEnd w:id="9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10.1 Kutsekomisjoni otsused võetakse vastu liikmete lihthäälteenamusega, kusjuures igal kutsekomisjoni liikmel on üks hääl.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10.2 Kutsekomisjoni otsuse võib erandkorras vastu võtta koosolekut kokku kutsumata, kui kutsekomisjoni liikmed hääletavad kirjalikult.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10.3 Igal kutsekomisjoni liikmel on õigus päevakorraliste küsimuste kohta esitada eelnevalt oma kirjalik arvamus või volitada kirjalikult enda nimel hääletama mõnda teist kutsekomisjoni liiget.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10.4 Kutsekomisjoni liige ei või osaleda kutse andmise või taastõendamise otsustamisel juhul, kui: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10.4.1 ta on osalenud hindamiskomisjoni töös või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10.4.2 ta on vahetult seotud taotlejale kutse andmiseks ettevalmistava koolituse või väljaõppega või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10.4.3 ta on taotleja tööandja juhatuse liige või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10.4.4 ta on isiklikult huvitatud konkreetsele taotlejale kutse andmisest, taastõendamisest või sellest keeldumisest;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10.4.5 kutsekomisjoni liikmete enamusel on tekkinud põhjendatud kahtlused tema erapooletuses.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0" w:name="_Toc22802608"/>
      <w:r>
        <w:rPr/>
        <w:t>11. KUTSE ANDMISE JA TAASTÕENDAMISE TAOTLUSTE LÄBIVAATMINE</w:t>
      </w:r>
      <w:bookmarkEnd w:id="10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11.1 Kutse taotlemisel või taastõendamisel esitatud dokumentide vastuvõtmise, registreerimise ning kontrollimise korraldab kutsekomisjoni esimees.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11.2 Kutsekomisjon teeb otsuse taotleja kompetentsuse hindamisele kutsumise või selleks vajalike eelduste puudumise korral taotluse tagasilükkamise kohta 5 tööpäeva jooksul dokumentide esitamise tähtaja möödumisest arvates, millest teavitab taotlejat hiljemalt 7 tööpäeva jooksul.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11.3 Puudulikult komplekteeritud, kuid tähtajaks esitatud dokumentide puhul annab kutsekomisjon taotlejale täiendava tähtaja puuduste kõrvaldamiseks.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11.4 Kui puudusi täiendava tähtaja jooksul ei kõrvaldata jätab kutsekomisjon taotluse läbi vaatamata.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11.5 Kui taotleja hindamisele ei ilmu, siis jäetakse tema taotlus rahuldamata. Taotleja kohalolek ei ole vajalik vaid dokumentide alusel hindamise puhul.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11.6 Kutse andmise või taastõendamise taotluse tagasi lükkamise, samuti läbivaatamata või rahuldamata jätmise korral taotlemise tasu ei tagastata.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11.7 Kutse taastõendajal on mõjuvatel põhjustel õigus taotleda taastõendamise edasilükkamist. Vastav avaldus tuleb kutsekomisjonile esitada hiljemalt 6 kuu jooksul pärast kutse kehtivuse lõppu. Pärast edasilükkamise taotluse saamist teeb kutsekomisjon (14 päeva jooksul) teatavaks hindamiskomisjoni kokku kutsumise aja.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11.8 Kutsekomisjon moodustab hindamiskomisjoni ja määrab hindamise protseduuri kestuse ja tähtaja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1" w:name="_Toc22802609"/>
      <w:r>
        <w:rPr/>
        <w:t>12. KUTSEKOMISJONI LIIKMETE TÖÖ TASUSTAMINE JA KULUTUSTE HÜVITAMINE</w:t>
      </w:r>
      <w:bookmarkEnd w:id="11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12.1 Kutsekomisjoni liikme töö on tasustatav. Kutsekomisjoni liikmetele makstakse tehtud töötundide (kutsekomisjoni koosolek, lisaülesanded) töötasu üks kord aastas.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12.2 Kutsekomisjoni liikmetele on õigus maksta tasu kutseeksami ettevalmistamisega seonduvate tööde eest.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12.3 Kutsekomisjoni liikmele hüvitatakse (sellekohase avalduse ja kuludokumentide alusel) tema ülesannete täitmise käigus kantud vajalikud transpordi ja/või majutuskulud.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2" w:name="_Toc22802610"/>
      <w:r>
        <w:rPr/>
        <w:t>13. HINDAMISKOMISJONI TÖÖKORD</w:t>
      </w:r>
      <w:bookmarkEnd w:id="12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13.1 Hindamiskomisjon on vähemalt kolmest liikmest koosnev kutsekomisjoni poolt moodustatud organ, mille tegevuse eesmärgiks on kutse või selle taastõendamise taotleja kompetentsuse hindamine (kutseseaduse §19).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13.2 Hindamiskomisjon juhindub oma tegevuses kutseseadusest, jumestaja – ja grimeerija kutse andmise korrast ja käesolevast töökorrast.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3" w:name="_Toc22802611"/>
      <w:r>
        <w:rPr/>
        <w:t>14. HINDAMISKOMISJONI LIIKMETELE ESITATAVAD NÕUDED</w:t>
      </w:r>
      <w:bookmarkEnd w:id="13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14.1 Hindamiskomisjoni liikmel peab olema vähemalt keskharidus.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14.2 Hindamiskomisjoni liikmel peab olema jumestaja – ja grimeerija kutsealane kompetentsus, kutsesüsteemialane kompetentsus, hindamisalane kompetentsus.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14.3 Hindamiskomisjoni liige peab omama ülevaadet jumestaja – ja grimeerija kutse eripärast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14.4 Hindamiskomisjoni liige peab olema sõltumatu, mis tähendab seda, et hinnatav ja hindamiskomisjoni liige ei tohi olla vastastikuses tööalases, perekondlikus või muus isiklikku laadi sõltuvuses.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4" w:name="_Toc22802612"/>
      <w:r>
        <w:rPr/>
        <w:t>15. HINDAMISKOMISJONI MOODUSTAMINE</w:t>
      </w:r>
      <w:bookmarkEnd w:id="14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15.1 Hindamiskomisjon moodustatakse iga kord, kui tekib vajadus kutse taotlemisel või taastõendamisel taotleja kutsealase kompetentsuse (oskuste, võimete, kogemuse ja hoiakute) hindamise järele.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15.2 Hindamiskomisjoni liikmed (sealhulgas hindamiskomisjoni esimees) nimetatakse ja nende volituste kestus kehtestatakse kutsekomisjoni otsusega.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15.3 Hindamiskomisjoni liikmetest ei tohi üle ühe kolmandiku olla vahetult seotud antud hindamiseks ettevalmistava koolituse või väljaõppe korraldamisega ja üle ühe kolmandiku olla taotleja tööandjaga samast asutusest või ettevõttest.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5" w:name="_Toc22802613"/>
      <w:r>
        <w:rPr/>
        <w:t>16. HINDAMISKOMISJONI LIIKMETE TAGASIASTUMINE</w:t>
      </w:r>
      <w:bookmarkEnd w:id="15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16.1 Hindamiskomisjoni liige võib igal ajal tagasi astuda, esitades selle kohta kutsekomisjoni esimehele kirjaliku avalduse.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16.2 Hindamiskomisjoni liige on kohustatud tagasi astuma, kui ta ei saa või ei suuda olla erapooletu.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6" w:name="_Toc22802614"/>
      <w:r>
        <w:rPr/>
        <w:t>17. HINDAMISKOMISJONI TÖÖVORM</w:t>
      </w:r>
      <w:bookmarkEnd w:id="16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17.1 Hindamiskomisjoni töövormiks on dokumentide läbivaatus, kirjalike tööde kontroll (testi), praktilise töö hindamine ja vestlus (kutseeksami vastuvõtmine ning hindamine).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 Iga kutse andmise või taastõendamise taotleja hindamise kohta vormistab hindamiskomisjoni esimees hindamisprotokolli, mille allkirjastavad kõik hindamiskomisjoni liikmed ja mis peab sisaldama vähemalt alljärgnevaid andmeid: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17.2.1 Hindamise aeg ja koht;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17.2.2 Hinnatava nimi;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17.2.3 Taotletava või taastõendatava kutse nimetus;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17.2.4 Hinnatavate kompetentside nimetused;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17.2.5 Hindamisviisid;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17.2.6 Hindamistulemused;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17.2.7 Mis keeles hindamine toimus;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17.2.8 Märkused hindamiskomisjoni liikmete taandamise kohta.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17.3 Hindamisprotokoll on peamiseks dokumendiks, mille alusel kutsekomisjon otsustab kutse andmise või taastõendamise taotluse rahuldamise või rahuldamata jätmise.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17.4 Kõigi hindamiskomisjoni liikmete poolt allkirjastatud hindamisprotokolli originaali esitab hindamiskomisjoni esimees 5 tööpäeva jooksul kutsekomisjoni esimehele.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7" w:name="_Toc22802615"/>
      <w:r>
        <w:rPr/>
        <w:t>18. HINDAMISKOMISJONI TÖÖ VAIDLUSTAMINE</w:t>
      </w:r>
      <w:bookmarkEnd w:id="17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18.1 Hindamiskomisjoni tööd on võimalik vaidlustada selle kohta kutsekomisjoni esimehele kirjaliku avalduse esitamisega.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18.2 Hindamiskomisjoni peale esitatud kaebuse asjaolusid (nende eelneva kontrollimise järgselt) võtab kutsekomisjon arvesse kutse andmise või selle taastõendamise taotluse rahuldamise või rahuldamata jätmise otsustamisel.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18.3 Kui hindamiskomisjoni peale esitatud kaebust peab kutsekomisjon põhjendatuks, siis moodustab ta uue hindamiskomisjoni ja määrab uue hindamise.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18.4 Kui hindamiskomisjoni peale esitatud kaebust ei pea kutsekomisjon põhjendatuks, siis esitab ta selle kohta oma põhjendid kutse andmise või taastõendamise taotluse rahuldamise või rahuldamata jätmise otsuses.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8" w:name="_Toc22802616"/>
      <w:r>
        <w:rPr/>
        <w:t>19. HINDAMISKOMISJONI LIIKMETE TÖÖ TASUSTAMINE JA KULUTUSTE HÜVITAMINE</w:t>
      </w:r>
      <w:bookmarkEnd w:id="18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19.1 Hindamiskomisjoni liikme töö on tasustatav ning talle hüvitatakse tema ülesannete täitmise käigus kantud vajalikud transpordi ja/või majutuskulud vastavalt kutsekomisjoni eelarvele (sellekohase avalduse ja kuludokumentide alusel).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19" w:name="_Toc22802617"/>
      <w:r>
        <w:rPr/>
        <w:t>20. KUTSE OMISTAMINE</w:t>
      </w:r>
      <w:bookmarkEnd w:id="19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20.1 Hindamiskomisjoni poolt koostatud hindamisprotokolli saabumise järel võtab kutsekomisjon hiljemalt 10 tööpäeva jooksul vastu otsuse kutse andmise või taastõendamise või sellest keeldumise kohta, millest taotlejat informeeritakse hiljemalt 5 tööpäeva jooksul.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20.2 Kutsekomisjon langetab otsuse kutsekvalifikatsiooni omistamise või mitteomistamise kohta hindamisprotokolli alusel.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20.3 Kutse andmisest või taastõendamisest keeldumise kohta tehtud kutsekomisjoni otsus peab olema motiveeritud, sisaldama viidet selle vaidlustamise tingimuste kohta ja olema taotlejale soovi korral kättesaadav.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20.4 Kutsekomisjoni otsusest kutsekvalifikatsiooni omistamise või mitteomistamise kohta teavitatakse taotlejat hiljemalt 5 kalendripäeva jooksu pärast otsuse langetamist,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20.5 Kutsekomisjon väljastab kutsetunnistuse hiljemalt 30 tööpäeva jooksul pärast kutse andmise otsuse vastuvõtmist.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20" w:name="_Toc22802618"/>
      <w:r>
        <w:rPr/>
        <w:t>21. KUTSEKOMISJONI OTSUSTE VAIDLUSTAMINE</w:t>
      </w:r>
      <w:bookmarkEnd w:id="20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21.1 Kutsekomisjoni otsuseid saab vaidlustada 30 päeva jooksul arvates otsuse kättesaamisest motiveeritud kirjaliku kaebuse esitamise teel kutsekomisjoni esimehele.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21.2 Kutsekomisjoni esimees edastab saabunud kaebuse ja selle lahendamiseks vajalikud täiendavad dokumendid kutsekomisjonile 5 tööpäeva jooksul.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21.3 Kutsekomisjon vaatab kaebuse läbi 10 tööpäeva jooksul, arvates kaebuse ja selle lahendamiseks vajalike dokumentide laekumisest arvates ja informeerib selle tulemustest kaebuse esitajat hiljemalt 30 tööpäeva jooksul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21.4 Kutsekomisjoni otsuse peale on võimalik esitada vaie Sihtasutuse Kutsekoda juures tegutsevale Kultuuri Kutsenõukogule haldusmenetluse seaduses sätestatud tingimustel ja korras.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21.5 Kutsekomisjoni otsuste vaidlustamiseks on võimalik esitada halduskohtusse kaebus halduskohtumenetluse seadustiks sätestatud tingimustel ja korras.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21" w:name="_Toc22802619"/>
      <w:r>
        <w:rPr/>
        <w:t>22. KUTSETUNNISTUSTE JA SELLE DUPLIKAATIDE VÄLJASTAMINE</w:t>
      </w:r>
      <w:bookmarkEnd w:id="21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22.1 Kutsetunnistus on dokument, mis tõendab isiku kutse kompetentsuse vastavaust kutsestandardis kehtestatud nõuetele.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9.2 Kutsetunnistus kantakse kutseregistri põhimäärusega kutseregistrisse ja see on kehtiv ainult sellekohase kande olemasolu korral kutseregistris (vastavalt kutseseadusele §21 lg 4).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9.3 Kutsetunnistuse duplikaadi väljastamiseks tuleb esitada kutsekomisjonile vastav kirjalik taotlus. Duplikaadi väljastamine on tasuline.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1"/>
        <w:rPr/>
      </w:pPr>
      <w:bookmarkStart w:id="22" w:name="_Toc22802620"/>
      <w:r>
        <w:rPr/>
        <w:t>23. KUTSETUNNISTUSTE KEHTETUKS TUNNISTAMINE</w:t>
      </w:r>
      <w:bookmarkEnd w:id="22"/>
      <w:r>
        <w:rPr/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23.1 Kutsekomisjoni pädevus tunnistada kutsetunnistusi kehtetuks tuleneb kutseseaduse §-st 22 lg 1.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23.2 Kutsetunnistuse kehtetuks tunnistamise taotlused vaatab läbi ja valmistab ette selle suhtes kutsekomisjoni poolt otsuse tegemiseks vajalikud materjalid (vajadusel täiendavaid andmeid või tõendeid kogudes) kutsekomisjoni esimees.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23.3 Isikule, kelle kut</w:t>
      </w:r>
      <w:bookmarkStart w:id="23" w:name="_GoBack"/>
      <w:bookmarkEnd w:id="23"/>
      <w:r>
        <w:rPr>
          <w:rFonts w:cs="Calibri" w:cstheme="minorHAnsi"/>
          <w:sz w:val="24"/>
          <w:szCs w:val="24"/>
        </w:rPr>
        <w:t>setunnistuse kehtetuks tunnistamise taotlust kutsekomisjonis läbi vaadatakse tuleb anda enne otsuse langetamist võimalus anda kutsekomisjonile suulisi või kirjalikke selgitusi.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23.4 Kutsetunnistuse kehtetuks tunnistamiseks peab olema kutseseadusega kehtestatud (§ 22 lg 1) usaldusväärne faktoloogiline alus. </w:t>
      </w:r>
    </w:p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23.5 Kutsetunnistuse kehtetuks tunnistamise taotlus rahuldatakse või jäetakse rahuldamata kutsekomisjoni motiveeritud otsusaega.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a0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85a0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InternetLink">
    <w:name w:val="Hyperlink"/>
    <w:basedOn w:val="DefaultParagraphFont"/>
    <w:uiPriority w:val="99"/>
    <w:unhideWhenUsed/>
    <w:rsid w:val="007d0e54"/>
    <w:rPr>
      <w:color w:val="0563C1" w:themeColor="hyperlink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7f7117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7d0e54"/>
    <w:pPr/>
    <w:rPr>
      <w:lang w:val="en-US"/>
    </w:rPr>
  </w:style>
  <w:style w:type="paragraph" w:styleId="Contents1">
    <w:name w:val="TOC 1"/>
    <w:basedOn w:val="Normal"/>
    <w:next w:val="Normal"/>
    <w:autoRedefine/>
    <w:uiPriority w:val="39"/>
    <w:unhideWhenUsed/>
    <w:rsid w:val="007d0e54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10</Pages>
  <Words>2825</Words>
  <Characters>16106</Characters>
  <CharactersWithSpaces>18894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2019-10-20T08:28:00Z</dcterms:created>
  <dc:creator>Liia</dc:creator>
  <dc:description/>
  <dc:language>en-US</dc:language>
  <cp:lastModifiedBy>Tiina Aljas</cp:lastModifiedBy>
  <dcterms:modified xsi:type="dcterms:W3CDTF">2019-10-24T06:54:00Z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